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eastAsia" w:eastAsia="宋体"/>
          <w:b/>
          <w:sz w:val="24"/>
          <w:lang w:eastAsia="zh-CN"/>
        </w:rPr>
      </w:pPr>
      <w:r>
        <w:rPr>
          <w:b/>
          <w:sz w:val="24"/>
        </w:rPr>
        <w:t>3GPP TSG-SA WG6 Meeting #5</w:t>
      </w:r>
      <w:r>
        <w:rPr>
          <w:rFonts w:hint="eastAsia" w:eastAsia="宋体"/>
          <w:b/>
          <w:sz w:val="24"/>
          <w:lang w:val="en-US" w:eastAsia="zh-CN"/>
        </w:rPr>
        <w:t>6</w:t>
      </w:r>
      <w:r>
        <w:rPr>
          <w:b/>
          <w:sz w:val="24"/>
        </w:rPr>
        <w:tab/>
      </w:r>
      <w:r>
        <w:rPr>
          <w:rFonts w:hint="eastAsia"/>
          <w:b/>
          <w:sz w:val="24"/>
        </w:rPr>
        <w:t>S6-232293</w:t>
      </w:r>
    </w:p>
    <w:p>
      <w:pPr>
        <w:pStyle w:val="91"/>
        <w:tabs>
          <w:tab w:val="right" w:pos="9639"/>
        </w:tabs>
        <w:spacing w:after="0"/>
        <w:rPr>
          <w:b/>
          <w:sz w:val="24"/>
        </w:rPr>
      </w:pPr>
      <w:r>
        <w:rPr>
          <w:rFonts w:hint="eastAsia" w:cs="Arial"/>
          <w:b/>
          <w:bCs/>
          <w:sz w:val="22"/>
        </w:rPr>
        <w:t>Gothenburg, Sweden, 21</w:t>
      </w:r>
      <w:r>
        <w:rPr>
          <w:rFonts w:hint="eastAsia" w:cs="Arial"/>
          <w:b/>
          <w:bCs/>
          <w:sz w:val="22"/>
          <w:vertAlign w:val="superscript"/>
        </w:rPr>
        <w:t>st</w:t>
      </w:r>
      <w:r>
        <w:rPr>
          <w:rFonts w:hint="eastAsia" w:cs="Arial"/>
          <w:b/>
          <w:bCs/>
          <w:sz w:val="22"/>
        </w:rPr>
        <w:t xml:space="preserve"> – 25</w:t>
      </w:r>
      <w:r>
        <w:rPr>
          <w:rFonts w:hint="eastAsia" w:cs="Arial"/>
          <w:b/>
          <w:bCs/>
          <w:sz w:val="22"/>
          <w:vertAlign w:val="superscript"/>
        </w:rPr>
        <w:t>th</w:t>
      </w:r>
      <w:r>
        <w:rPr>
          <w:rFonts w:hint="eastAsia" w:cs="Arial"/>
          <w:b/>
          <w:bCs/>
          <w:sz w:val="22"/>
        </w:rPr>
        <w:t xml:space="preserve"> August 2023</w:t>
      </w:r>
      <w:r>
        <w:rPr>
          <w:rFonts w:cs="Arial"/>
          <w:b/>
          <w:bCs/>
          <w:sz w:val="22"/>
        </w:rPr>
        <w:tab/>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hint="eastAsia" w:ascii="Arial" w:hAnsi="Arial" w:cs="Arial"/>
          <w:b/>
          <w:sz w:val="22"/>
          <w:szCs w:val="22"/>
        </w:rPr>
        <w:t>initiation of new work item ITU-T Y.NGNe-CEE “Capability exposure enhancement in next generation network evolution (NG</w:t>
      </w:r>
      <w:bookmarkStart w:id="7" w:name="_GoBack"/>
      <w:bookmarkEnd w:id="7"/>
      <w:r>
        <w:rPr>
          <w:rFonts w:hint="eastAsia" w:ascii="Arial" w:hAnsi="Arial" w:cs="Arial"/>
          <w:b/>
          <w:sz w:val="22"/>
          <w:szCs w:val="22"/>
        </w:rPr>
        <w:t>Ne)”</w:t>
      </w:r>
    </w:p>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LS on initiation of new work item ITU-T Y.NGNe-CEE “Capability exposure enhancement in next generation network evolution (NGNe)”</w:t>
      </w:r>
    </w:p>
    <w:bookmarkEnd w:id="0"/>
    <w:bookmarkEnd w:id="1"/>
    <w:p>
      <w:pPr>
        <w:spacing w:after="60"/>
        <w:ind w:left="1985" w:hanging="1985"/>
        <w:rPr>
          <w:rFonts w:hint="eastAsia" w:ascii="Arial" w:hAnsi="Arial" w:eastAsia="宋体" w:cs="Arial"/>
          <w:b/>
          <w:bCs/>
          <w:sz w:val="22"/>
          <w:szCs w:val="22"/>
          <w:lang w:val="en-US" w:eastAsia="zh-CN"/>
        </w:rPr>
      </w:pPr>
      <w:bookmarkStart w:id="2" w:name="OLE_LINK59"/>
      <w:bookmarkStart w:id="3" w:name="OLE_LINK60"/>
      <w:bookmarkStart w:id="4" w:name="OLE_LINK61"/>
      <w:r>
        <w:rPr>
          <w:rFonts w:ascii="Arial" w:hAnsi="Arial" w:cs="Arial"/>
          <w:b/>
          <w:sz w:val="22"/>
          <w:szCs w:val="22"/>
        </w:rPr>
        <w:t>Release:</w:t>
      </w:r>
      <w:r>
        <w:rPr>
          <w:rFonts w:ascii="Arial" w:hAnsi="Arial" w:cs="Arial"/>
          <w:b/>
          <w:sz w:val="22"/>
          <w:szCs w:val="22"/>
        </w:rPr>
        <w:tab/>
      </w:r>
      <w:r>
        <w:rPr>
          <w:rFonts w:ascii="Arial" w:hAnsi="Arial" w:cs="Arial"/>
          <w:b/>
          <w:bCs/>
          <w:sz w:val="22"/>
          <w:szCs w:val="22"/>
        </w:rPr>
        <w:t>Rel-1</w:t>
      </w:r>
      <w:r>
        <w:rPr>
          <w:rFonts w:hint="eastAsia" w:ascii="Arial" w:hAnsi="Arial" w:eastAsia="宋体" w:cs="Arial"/>
          <w:b/>
          <w:bCs/>
          <w:sz w:val="22"/>
          <w:szCs w:val="22"/>
          <w:lang w:val="en-US"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lang w:val="en-US" w:eastAsia="zh-CN"/>
        </w:rPr>
        <w:t>N</w:t>
      </w:r>
      <w:r>
        <w:rPr>
          <w:rFonts w:hint="eastAsia" w:ascii="Arial" w:hAnsi="Arial" w:cs="Arial"/>
          <w:b/>
          <w:bCs/>
          <w:sz w:val="22"/>
          <w:szCs w:val="22"/>
        </w:rPr>
        <w:t>ot specified</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r>
      <w:r>
        <w:rPr>
          <w:rFonts w:ascii="Arial" w:hAnsi="Arial" w:cs="Arial"/>
          <w:b/>
          <w:sz w:val="22"/>
          <w:szCs w:val="22"/>
          <w:lang w:val="fr-FR"/>
        </w:rPr>
        <w:t>TSG SA WG6</w:t>
      </w: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lang w:val="fr-CA"/>
        </w:rPr>
        <w:t>To:</w:t>
      </w:r>
      <w:r>
        <w:rPr>
          <w:rFonts w:ascii="Arial" w:hAnsi="Arial" w:cs="Arial"/>
          <w:b/>
          <w:bCs/>
          <w:sz w:val="22"/>
          <w:szCs w:val="22"/>
          <w:lang w:val="fr-CA"/>
        </w:rPr>
        <w:tab/>
      </w:r>
      <w:r>
        <w:rPr>
          <w:rFonts w:ascii="Arial" w:hAnsi="Arial" w:cs="Arial"/>
          <w:b/>
          <w:sz w:val="22"/>
          <w:szCs w:val="22"/>
          <w:lang w:val="fr-FR"/>
        </w:rPr>
        <w:t>TSG SA</w:t>
      </w:r>
    </w:p>
    <w:p>
      <w:pPr>
        <w:spacing w:after="60"/>
        <w:ind w:left="1985" w:hanging="1985"/>
        <w:rPr>
          <w:rFonts w:ascii="Arial" w:hAnsi="Arial" w:cs="Arial"/>
          <w:b/>
          <w:bCs/>
          <w:sz w:val="22"/>
          <w:szCs w:val="22"/>
          <w:lang w:val="fr-CA"/>
        </w:rPr>
      </w:pPr>
      <w:bookmarkStart w:id="5" w:name="OLE_LINK45"/>
      <w:bookmarkStart w:id="6" w:name="OLE_LINK46"/>
      <w:r>
        <w:rPr>
          <w:rFonts w:ascii="Arial" w:hAnsi="Arial" w:cs="Arial"/>
          <w:b/>
          <w:sz w:val="22"/>
          <w:szCs w:val="22"/>
          <w:lang w:val="fr-CA"/>
        </w:rPr>
        <w:t>Cc:</w:t>
      </w:r>
      <w:r>
        <w:rPr>
          <w:rFonts w:ascii="Arial" w:hAnsi="Arial" w:cs="Arial"/>
          <w:b/>
          <w:bCs/>
          <w:sz w:val="22"/>
          <w:szCs w:val="22"/>
          <w:lang w:val="fr-CA"/>
        </w:rPr>
        <w:tab/>
      </w:r>
    </w:p>
    <w:bookmarkEnd w:id="5"/>
    <w:bookmarkEnd w:id="6"/>
    <w:p>
      <w:pPr>
        <w:spacing w:after="60"/>
        <w:ind w:left="1985" w:hanging="1985"/>
        <w:rPr>
          <w:rFonts w:ascii="Arial" w:hAnsi="Arial" w:cs="Arial"/>
          <w:bCs/>
          <w:lang w:val="fr-CA"/>
        </w:rPr>
      </w:pP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lang w:val="fr-CA"/>
        </w:rPr>
        <w:t>Contact person:</w:t>
      </w:r>
      <w:r>
        <w:rPr>
          <w:rFonts w:ascii="Arial" w:hAnsi="Arial" w:cs="Arial"/>
          <w:b/>
          <w:bCs/>
          <w:sz w:val="22"/>
          <w:szCs w:val="22"/>
          <w:lang w:val="fr-CA"/>
        </w:rPr>
        <w:tab/>
      </w:r>
      <w:r>
        <w:rPr>
          <w:rFonts w:hint="eastAsia" w:ascii="Arial" w:hAnsi="Arial" w:eastAsia="宋体" w:cs="Arial"/>
          <w:b/>
          <w:bCs/>
          <w:sz w:val="22"/>
          <w:szCs w:val="22"/>
          <w:lang w:val="en-US" w:eastAsia="zh-CN"/>
        </w:rPr>
        <w:t>He Xiao</w:t>
      </w:r>
    </w:p>
    <w:p>
      <w:pPr>
        <w:spacing w:after="60"/>
        <w:ind w:left="1985" w:hanging="1985"/>
        <w:rPr>
          <w:rFonts w:hint="default" w:ascii="Arial" w:hAnsi="Arial" w:eastAsia="宋体" w:cs="Arial"/>
          <w:b/>
          <w:bCs/>
          <w:sz w:val="22"/>
          <w:szCs w:val="22"/>
          <w:lang w:val="en-US" w:eastAsia="zh-CN"/>
        </w:rPr>
      </w:pPr>
      <w:r>
        <w:rPr>
          <w:rFonts w:ascii="Arial" w:hAnsi="Arial" w:cs="Arial"/>
          <w:b/>
          <w:bCs/>
          <w:sz w:val="22"/>
          <w:szCs w:val="22"/>
          <w:lang w:val="fr-CA"/>
        </w:rPr>
        <w:tab/>
      </w:r>
      <w:r>
        <w:rPr>
          <w:rFonts w:hint="eastAsia" w:ascii="Arial" w:hAnsi="Arial" w:eastAsia="宋体" w:cs="Arial"/>
          <w:b/>
          <w:bCs/>
          <w:sz w:val="22"/>
          <w:szCs w:val="22"/>
          <w:lang w:val="en-US" w:eastAsia="zh-CN"/>
        </w:rPr>
        <w:t>hexiao</w:t>
      </w:r>
      <w:r>
        <w:rPr>
          <w:rFonts w:ascii="Arial" w:hAnsi="Arial" w:cs="Arial"/>
          <w:b/>
          <w:bCs/>
          <w:sz w:val="22"/>
          <w:szCs w:val="22"/>
          <w:lang w:val="fr-CA"/>
        </w:rPr>
        <w:t>@</w:t>
      </w:r>
      <w:r>
        <w:rPr>
          <w:rFonts w:hint="eastAsia" w:ascii="Arial" w:hAnsi="Arial" w:eastAsia="宋体" w:cs="Arial"/>
          <w:b/>
          <w:bCs/>
          <w:sz w:val="22"/>
          <w:szCs w:val="22"/>
          <w:lang w:val="en-US" w:eastAsia="zh-CN"/>
        </w:rPr>
        <w:t>chinatelecom.cn</w:t>
      </w:r>
    </w:p>
    <w:p>
      <w:pPr>
        <w:spacing w:after="60"/>
        <w:ind w:left="1985" w:hanging="1985"/>
        <w:rPr>
          <w:rFonts w:ascii="Arial" w:hAnsi="Arial" w:cs="Arial"/>
          <w:b/>
          <w:bCs/>
          <w:sz w:val="22"/>
          <w:szCs w:val="22"/>
          <w:lang w:val="fr-CA"/>
        </w:rPr>
      </w:pPr>
      <w:r>
        <w:rPr>
          <w:rFonts w:ascii="Arial" w:hAnsi="Arial" w:cs="Arial"/>
          <w:b/>
          <w:bCs/>
          <w:sz w:val="22"/>
          <w:szCs w:val="22"/>
          <w:lang w:val="fr-CA"/>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N/A</w:t>
      </w:r>
    </w:p>
    <w:p>
      <w:pPr>
        <w:rPr>
          <w:rFonts w:ascii="Arial" w:hAnsi="Arial" w:cs="Arial"/>
        </w:rPr>
      </w:pPr>
    </w:p>
    <w:p>
      <w:pPr>
        <w:pStyle w:val="2"/>
      </w:pPr>
      <w:r>
        <w:t>1</w:t>
      </w:r>
      <w:r>
        <w:tab/>
      </w:r>
      <w:r>
        <w:t>Overall description</w:t>
      </w:r>
    </w:p>
    <w:p>
      <w:pPr>
        <w:keepNext w:val="0"/>
        <w:keepLines w:val="0"/>
        <w:pageBreakBefore w:val="0"/>
        <w:widowControl/>
        <w:kinsoku/>
        <w:wordWrap/>
        <w:overflowPunct w:val="0"/>
        <w:topLinePunct w:val="0"/>
        <w:autoSpaceDE w:val="0"/>
        <w:autoSpaceDN w:val="0"/>
        <w:bidi w:val="0"/>
        <w:adjustRightInd w:val="0"/>
        <w:snapToGrid/>
        <w:spacing w:after="0" w:line="440" w:lineRule="exact"/>
        <w:textAlignment w:val="baseline"/>
        <w:rPr>
          <w:rFonts w:hint="eastAsia"/>
          <w:lang w:eastAsia="zh-CN"/>
        </w:rPr>
      </w:pPr>
      <w:r>
        <w:rPr>
          <w:rFonts w:hint="eastAsia"/>
          <w:lang w:val="en-US" w:eastAsia="zh-CN"/>
        </w:rPr>
        <w:t xml:space="preserve">SA WG6 </w:t>
      </w:r>
      <w:r>
        <w:rPr>
          <w:rFonts w:hint="eastAsia"/>
          <w:lang w:eastAsia="zh-CN"/>
        </w:rPr>
        <w:t xml:space="preserve">would like to thank </w:t>
      </w:r>
      <w:r>
        <w:rPr>
          <w:rFonts w:hint="eastAsia"/>
          <w:lang w:val="en-US" w:eastAsia="zh-CN"/>
        </w:rPr>
        <w:t>ITU-T SG13</w:t>
      </w:r>
      <w:r>
        <w:rPr>
          <w:rFonts w:hint="eastAsia"/>
          <w:lang w:eastAsia="zh-CN"/>
        </w:rPr>
        <w:t xml:space="preserve"> for t</w:t>
      </w:r>
      <w:r>
        <w:rPr>
          <w:rFonts w:hint="eastAsia"/>
          <w:lang w:val="en-US" w:eastAsia="zh-CN"/>
        </w:rPr>
        <w:t>he LS on initiation of new work item ITU-T Y.NGNe-CEE “Capability exposure enhancement in next generation network evolution (NGNe)”</w:t>
      </w:r>
      <w:r>
        <w:rPr>
          <w:rFonts w:hint="eastAsia"/>
          <w:lang w:eastAsia="zh-CN"/>
        </w:rPr>
        <w:t xml:space="preserve"> and would like to thank WG SA for their effort to coordinate the response to </w:t>
      </w:r>
      <w:r>
        <w:rPr>
          <w:rFonts w:hint="eastAsia"/>
          <w:lang w:val="en-US" w:eastAsia="zh-CN"/>
        </w:rPr>
        <w:t>ITU-T</w:t>
      </w:r>
      <w:r>
        <w:rPr>
          <w:rFonts w:hint="eastAsia"/>
          <w:lang w:eastAsia="zh-CN"/>
        </w:rPr>
        <w:t>.</w:t>
      </w:r>
    </w:p>
    <w:p>
      <w:pPr>
        <w:keepNext w:val="0"/>
        <w:keepLines w:val="0"/>
        <w:pageBreakBefore w:val="0"/>
        <w:widowControl/>
        <w:kinsoku/>
        <w:wordWrap/>
        <w:overflowPunct w:val="0"/>
        <w:topLinePunct w:val="0"/>
        <w:autoSpaceDE w:val="0"/>
        <w:autoSpaceDN w:val="0"/>
        <w:bidi w:val="0"/>
        <w:adjustRightInd w:val="0"/>
        <w:snapToGrid/>
        <w:spacing w:after="0" w:line="440" w:lineRule="exact"/>
        <w:textAlignment w:val="baseline"/>
        <w:rPr>
          <w:rFonts w:hint="eastAsia"/>
          <w:lang w:eastAsia="zh-CN"/>
        </w:rPr>
      </w:pPr>
      <w:r>
        <w:rPr>
          <w:rFonts w:hint="eastAsia"/>
          <w:lang w:val="en-US" w:eastAsia="zh-CN"/>
        </w:rPr>
        <w:t>SA WG6</w:t>
      </w:r>
      <w:r>
        <w:rPr>
          <w:rFonts w:hint="eastAsia"/>
          <w:lang w:eastAsia="zh-CN"/>
        </w:rPr>
        <w:t xml:space="preserve"> has discussed the LS from </w:t>
      </w:r>
      <w:r>
        <w:rPr>
          <w:rFonts w:hint="eastAsia"/>
          <w:lang w:val="en-US" w:eastAsia="zh-CN"/>
        </w:rPr>
        <w:t>ITU-T</w:t>
      </w:r>
      <w:r>
        <w:rPr>
          <w:rFonts w:hint="eastAsia"/>
          <w:lang w:eastAsia="zh-CN"/>
        </w:rPr>
        <w:t xml:space="preserve">, and has identified gaps and limitations potentially relevant for SA6. The following aspects are provided for further consideration by </w:t>
      </w:r>
      <w:r>
        <w:rPr>
          <w:rFonts w:hint="eastAsia"/>
          <w:lang w:val="en-US" w:eastAsia="zh-CN"/>
        </w:rPr>
        <w:t>SA WG6</w:t>
      </w:r>
      <w:r>
        <w:rPr>
          <w:rFonts w:hint="eastAsia"/>
          <w:lang w:eastAsia="zh-CN"/>
        </w:rPr>
        <w:t>:</w:t>
      </w:r>
    </w:p>
    <w:p>
      <w:pPr>
        <w:keepNext w:val="0"/>
        <w:keepLines w:val="0"/>
        <w:pageBreakBefore w:val="0"/>
        <w:widowControl/>
        <w:kinsoku/>
        <w:wordWrap/>
        <w:overflowPunct w:val="0"/>
        <w:topLinePunct w:val="0"/>
        <w:autoSpaceDE w:val="0"/>
        <w:autoSpaceDN w:val="0"/>
        <w:bidi w:val="0"/>
        <w:adjustRightInd w:val="0"/>
        <w:snapToGrid/>
        <w:spacing w:after="0" w:line="440" w:lineRule="exact"/>
        <w:textAlignment w:val="baseline"/>
        <w:rPr>
          <w:rFonts w:hint="eastAsia"/>
          <w:i/>
          <w:iCs/>
          <w:lang w:eastAsia="zh-CN"/>
        </w:rPr>
      </w:pPr>
      <w:r>
        <w:rPr>
          <w:rFonts w:hint="eastAsia"/>
          <w:lang w:val="en-US" w:eastAsia="zh-CN"/>
        </w:rPr>
        <w:t>SA WG6</w:t>
      </w:r>
      <w:r>
        <w:rPr>
          <w:rFonts w:hint="eastAsia"/>
          <w:lang w:eastAsia="zh-CN"/>
        </w:rPr>
        <w:t xml:space="preserve"> would like to share the information of the following specifications ：SA6 has provided the application layer architecture specifications for verticals, including architecture requirements and functional architecture for supporting the integration of verticals to 3GPP systems. As part of SA6 work, the application enablement layer includes vertical specific application enablers (e.g. V2XAPP, UASAPP, FFAPP) as well as common service platforms and edge enablement frameworks. Such enablement layer sits on top of the 3GPP network and aims to support the exposure of network services as well as to provide value-added capabilities related to discovery, service continuity, application portability etc. Please refer the following specification for detail.</w:t>
      </w:r>
    </w:p>
    <w:p>
      <w:pPr>
        <w:pStyle w:val="93"/>
        <w:keepNext w:val="0"/>
        <w:keepLines w:val="0"/>
        <w:pageBreakBefore w:val="0"/>
        <w:widowControl/>
        <w:numPr>
          <w:ilvl w:val="0"/>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SEAL services, which supports services/capabilities, which can be potentially invoked by multiple industry applications(Common to both V2X, UAV, smart factory..)</w:t>
      </w:r>
    </w:p>
    <w:p>
      <w:pPr>
        <w:pStyle w:val="93"/>
        <w:keepNext w:val="0"/>
        <w:keepLines w:val="0"/>
        <w:pageBreakBefore w:val="0"/>
        <w:widowControl/>
        <w:numPr>
          <w:ilvl w:val="1"/>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Service Enabler Architecture Layer for Verticals (SEAL); Functional architecture and information flows specified in 3GPP TS 23.434.</w:t>
      </w:r>
    </w:p>
    <w:p>
      <w:pPr>
        <w:pStyle w:val="93"/>
        <w:keepNext w:val="0"/>
        <w:keepLines w:val="0"/>
        <w:pageBreakBefore w:val="0"/>
        <w:widowControl/>
        <w:numPr>
          <w:ilvl w:val="1"/>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SEAL Data Delivery enabler for vertical applications specified in 3GPP TS 23.433.</w:t>
      </w:r>
    </w:p>
    <w:p>
      <w:pPr>
        <w:pStyle w:val="93"/>
        <w:keepNext w:val="0"/>
        <w:keepLines w:val="0"/>
        <w:pageBreakBefore w:val="0"/>
        <w:widowControl/>
        <w:numPr>
          <w:ilvl w:val="1"/>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Procedures for Network Slice Capability Exposure for Application Layer Enablement Service specified in 3GPP TS 23.435.</w:t>
      </w:r>
    </w:p>
    <w:p>
      <w:pPr>
        <w:pStyle w:val="93"/>
        <w:keepNext w:val="0"/>
        <w:keepLines w:val="0"/>
        <w:pageBreakBefore w:val="0"/>
        <w:widowControl/>
        <w:numPr>
          <w:ilvl w:val="1"/>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Procedures for Application Data Analytics Enablement Service specified in 3GPP TS 23.436.</w:t>
      </w:r>
    </w:p>
    <w:p>
      <w:pPr>
        <w:pStyle w:val="93"/>
        <w:keepNext w:val="0"/>
        <w:keepLines w:val="0"/>
        <w:pageBreakBefore w:val="0"/>
        <w:widowControl/>
        <w:numPr>
          <w:ilvl w:val="0"/>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Common API Framework (CAPIF) for 3GPP Northbound APIs specified in 3GPP TS 23.222, which provides framework for API discovery/publication/subscription/authorization.</w:t>
      </w:r>
    </w:p>
    <w:p>
      <w:pPr>
        <w:pStyle w:val="93"/>
        <w:keepNext w:val="0"/>
        <w:keepLines w:val="0"/>
        <w:pageBreakBefore w:val="0"/>
        <w:widowControl/>
        <w:numPr>
          <w:ilvl w:val="0"/>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Architecture for enabling Edge Applications specified in 3GPP TS 23.558, which provides capabilities to application client to discover appropriate Edge application server discovery ( supporting optimal performance) and re-locating to new Edge application server when UE moves.</w:t>
      </w:r>
    </w:p>
    <w:p>
      <w:pPr>
        <w:pStyle w:val="93"/>
        <w:keepNext w:val="0"/>
        <w:keepLines w:val="0"/>
        <w:pageBreakBefore w:val="0"/>
        <w:widowControl/>
        <w:numPr>
          <w:ilvl w:val="0"/>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Application architecture for MSGin5G Service specified in 3GPP TS 23.554, which provides capabilities of IOT message transmission for application developers.</w:t>
      </w:r>
    </w:p>
    <w:p>
      <w:pPr>
        <w:pStyle w:val="93"/>
        <w:keepNext w:val="0"/>
        <w:keepLines w:val="0"/>
        <w:pageBreakBefore w:val="0"/>
        <w:widowControl/>
        <w:numPr>
          <w:ilvl w:val="0"/>
          <w:numId w:val="5"/>
        </w:numP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Application layer support for Factories of the Future (FF)/UAV/V2X specified in 3GPP TS 23.545, 3GPP TS 23.255 ,3GPP TS 23.286 each supports services/capabilities dedicate to FF APP developers, UAV application developers ,or V2X application developers</w:t>
      </w:r>
    </w:p>
    <w:p>
      <w:pPr>
        <w:pStyle w:val="93"/>
        <w:numPr>
          <w:ilvl w:val="0"/>
          <w:numId w:val="0"/>
        </w:numPr>
        <w:ind w:left="360" w:leftChars="0"/>
        <w:rPr>
          <w:rFonts w:hint="eastAsia" w:ascii="Times New Roman" w:hAnsi="Times New Roman" w:cs="Times New Roman" w:eastAsiaTheme="minorEastAsia"/>
          <w:lang w:eastAsia="zh-CN"/>
        </w:rPr>
      </w:pPr>
    </w:p>
    <w:p>
      <w:pPr>
        <w:pStyle w:val="2"/>
      </w:pPr>
      <w:r>
        <w:t>2</w:t>
      </w:r>
      <w:r>
        <w:tab/>
      </w:r>
      <w:r>
        <w:t>Actions</w:t>
      </w:r>
    </w:p>
    <w:p>
      <w:pPr>
        <w:spacing w:after="120"/>
        <w:ind w:left="1985" w:hanging="1985"/>
        <w:rPr>
          <w:rFonts w:ascii="Arial" w:hAnsi="Arial" w:cs="Arial"/>
          <w:b/>
        </w:rPr>
      </w:pPr>
    </w:p>
    <w:p>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eastAsia="宋体" w:cs="Arial"/>
          <w:b/>
          <w:bCs/>
          <w:sz w:val="22"/>
          <w:szCs w:val="22"/>
          <w:lang w:val="en-US" w:eastAsia="zh-CN"/>
        </w:rPr>
        <w:t>TSAG SA</w:t>
      </w:r>
    </w:p>
    <w:p>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SA6 kindly request SA to take above information into account towards the response to </w:t>
      </w:r>
      <w:r>
        <w:rPr>
          <w:rFonts w:hint="eastAsia" w:eastAsia="宋体"/>
          <w:lang w:val="en-US" w:eastAsia="zh-CN"/>
        </w:rPr>
        <w:t>ITU-T SG13</w:t>
      </w:r>
      <w:r>
        <w:t>.</w:t>
      </w:r>
    </w:p>
    <w:p>
      <w:pPr>
        <w:spacing w:after="120"/>
        <w:ind w:left="993" w:hanging="993"/>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SA6#57                 9</w:t>
      </w:r>
      <w:r>
        <w:rPr>
          <w:rFonts w:ascii="Arial" w:hAnsi="Arial" w:cs="Arial"/>
          <w:bCs/>
          <w:vertAlign w:val="superscript"/>
        </w:rPr>
        <w:t>th</w:t>
      </w:r>
      <w:r>
        <w:rPr>
          <w:rFonts w:ascii="Arial" w:hAnsi="Arial" w:cs="Arial"/>
          <w:bCs/>
        </w:rPr>
        <w:t xml:space="preserve"> October – 13</w:t>
      </w:r>
      <w:r>
        <w:rPr>
          <w:rFonts w:hint="eastAsia" w:ascii="Arial" w:hAnsi="Arial" w:eastAsia="宋体" w:cs="Arial"/>
          <w:bCs/>
          <w:vertAlign w:val="superscript"/>
          <w:lang w:val="en-US" w:eastAsia="zh-CN"/>
        </w:rPr>
        <w:t>rd</w:t>
      </w:r>
      <w:r>
        <w:rPr>
          <w:rFonts w:ascii="Arial" w:hAnsi="Arial" w:cs="Arial"/>
          <w:bCs/>
        </w:rPr>
        <w:t xml:space="preserve"> October 2023 </w:t>
      </w:r>
      <w:r>
        <w:rPr>
          <w:rFonts w:ascii="Arial" w:hAnsi="Arial" w:cs="Arial"/>
          <w:bCs/>
        </w:rPr>
        <w:tab/>
      </w:r>
      <w:r>
        <w:rPr>
          <w:rFonts w:ascii="Arial" w:hAnsi="Arial" w:cs="Arial"/>
          <w:bCs/>
        </w:rPr>
        <w:t>Xiamen, China</w:t>
      </w:r>
    </w:p>
    <w:p>
      <w:pPr>
        <w:tabs>
          <w:tab w:val="left" w:pos="5103"/>
        </w:tabs>
        <w:spacing w:after="120"/>
        <w:rPr>
          <w:rFonts w:ascii="Arial" w:hAnsi="Arial" w:cs="Arial"/>
          <w:bCs/>
        </w:rPr>
      </w:pPr>
      <w:r>
        <w:rPr>
          <w:rFonts w:ascii="Arial" w:hAnsi="Arial" w:cs="Arial"/>
          <w:bCs/>
        </w:rPr>
        <w:t>SA6#5</w:t>
      </w:r>
      <w:r>
        <w:rPr>
          <w:rFonts w:hint="eastAsia" w:ascii="Arial" w:hAnsi="Arial" w:eastAsia="宋体" w:cs="Arial"/>
          <w:bCs/>
          <w:lang w:val="en-US" w:eastAsia="zh-CN"/>
        </w:rPr>
        <w:t>8</w:t>
      </w:r>
      <w:r>
        <w:rPr>
          <w:rFonts w:ascii="Arial" w:hAnsi="Arial" w:cs="Arial"/>
          <w:bCs/>
        </w:rPr>
        <w:t xml:space="preserve">                 </w:t>
      </w:r>
      <w:r>
        <w:rPr>
          <w:rFonts w:hint="eastAsia" w:ascii="Arial" w:hAnsi="Arial" w:eastAsia="宋体" w:cs="Arial"/>
          <w:bCs/>
          <w:lang w:val="en-US" w:eastAsia="zh-CN"/>
        </w:rPr>
        <w:t>13</w:t>
      </w:r>
      <w:r>
        <w:rPr>
          <w:rFonts w:hint="eastAsia" w:ascii="Arial" w:hAnsi="Arial" w:eastAsia="宋体" w:cs="Arial"/>
          <w:bCs/>
          <w:vertAlign w:val="superscript"/>
          <w:lang w:val="en-US" w:eastAsia="zh-CN"/>
        </w:rPr>
        <w:t>rd</w:t>
      </w:r>
      <w:r>
        <w:rPr>
          <w:rFonts w:ascii="Arial" w:hAnsi="Arial" w:cs="Arial"/>
          <w:bCs/>
        </w:rPr>
        <w:t xml:space="preserve"> </w:t>
      </w:r>
      <w:r>
        <w:rPr>
          <w:rFonts w:hint="eastAsia" w:ascii="Arial" w:hAnsi="Arial" w:eastAsia="宋体" w:cs="Arial"/>
          <w:bCs/>
          <w:lang w:val="en-US" w:eastAsia="zh-CN"/>
        </w:rPr>
        <w:t>November</w:t>
      </w:r>
      <w:r>
        <w:rPr>
          <w:rFonts w:ascii="Arial" w:hAnsi="Arial" w:cs="Arial"/>
          <w:bCs/>
        </w:rPr>
        <w:t xml:space="preserve"> – 1</w:t>
      </w:r>
      <w:r>
        <w:rPr>
          <w:rFonts w:hint="eastAsia" w:ascii="Arial" w:hAnsi="Arial" w:eastAsia="宋体" w:cs="Arial"/>
          <w:bCs/>
          <w:lang w:val="en-US" w:eastAsia="zh-CN"/>
        </w:rPr>
        <w:t>7</w:t>
      </w:r>
      <w:r>
        <w:rPr>
          <w:rFonts w:ascii="Arial" w:hAnsi="Arial" w:cs="Arial"/>
          <w:bCs/>
          <w:vertAlign w:val="superscript"/>
        </w:rPr>
        <w:t>th</w:t>
      </w:r>
      <w:r>
        <w:rPr>
          <w:rFonts w:ascii="Arial" w:hAnsi="Arial" w:cs="Arial"/>
          <w:bCs/>
        </w:rPr>
        <w:t xml:space="preserve"> </w:t>
      </w:r>
      <w:r>
        <w:rPr>
          <w:rFonts w:hint="eastAsia" w:ascii="Arial" w:hAnsi="Arial" w:eastAsia="宋体" w:cs="Arial"/>
          <w:bCs/>
          <w:lang w:val="en-US" w:eastAsia="zh-CN"/>
        </w:rPr>
        <w:t>November</w:t>
      </w:r>
      <w:r>
        <w:rPr>
          <w:rFonts w:ascii="Arial" w:hAnsi="Arial" w:cs="Arial"/>
          <w:bCs/>
        </w:rPr>
        <w:t xml:space="preserve"> 2023 </w:t>
      </w:r>
      <w:r>
        <w:rPr>
          <w:rFonts w:ascii="Arial" w:hAnsi="Arial" w:cs="Arial"/>
          <w:bCs/>
        </w:rPr>
        <w:tab/>
      </w:r>
      <w:r>
        <w:rPr>
          <w:rFonts w:hint="eastAsia" w:ascii="Arial" w:hAnsi="Arial" w:cs="Arial"/>
          <w:bCs/>
        </w:rPr>
        <w:t>Chicago, US</w:t>
      </w:r>
    </w:p>
    <w:p>
      <w:pPr>
        <w:tabs>
          <w:tab w:val="left" w:pos="5103"/>
        </w:tabs>
        <w:spacing w:after="120"/>
        <w:rPr>
          <w:rFonts w:ascii="Arial" w:hAnsi="Arial" w:cs="Arial"/>
          <w:bCs/>
        </w:rPr>
      </w:pPr>
    </w:p>
    <w:p>
      <w:pPr>
        <w:tabs>
          <w:tab w:val="left" w:pos="5103"/>
        </w:tabs>
        <w:spacing w:after="120"/>
        <w:rPr>
          <w:rFonts w:ascii="Arial" w:hAnsi="Arial" w:cs="Arial"/>
          <w:bC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56541DD5"/>
    <w:multiLevelType w:val="multilevel"/>
    <w:tmpl w:val="56541D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doNotTrackMov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M1YjM2ZTJlMjI4OGVmOTMyNTU4NGFlYThhM2RkNTEifQ=="/>
  </w:docVars>
  <w:rsids>
    <w:rsidRoot w:val="004E3939"/>
    <w:rsid w:val="00010339"/>
    <w:rsid w:val="00017F23"/>
    <w:rsid w:val="00046F08"/>
    <w:rsid w:val="00095BC2"/>
    <w:rsid w:val="000F6242"/>
    <w:rsid w:val="00174844"/>
    <w:rsid w:val="001E4788"/>
    <w:rsid w:val="002201E4"/>
    <w:rsid w:val="00270389"/>
    <w:rsid w:val="002A6824"/>
    <w:rsid w:val="002F1940"/>
    <w:rsid w:val="00320F57"/>
    <w:rsid w:val="0034030B"/>
    <w:rsid w:val="00382907"/>
    <w:rsid w:val="00383545"/>
    <w:rsid w:val="003B654D"/>
    <w:rsid w:val="003C489E"/>
    <w:rsid w:val="003D3743"/>
    <w:rsid w:val="00433500"/>
    <w:rsid w:val="00433F71"/>
    <w:rsid w:val="00440D43"/>
    <w:rsid w:val="00444DEF"/>
    <w:rsid w:val="0045595F"/>
    <w:rsid w:val="004B46AC"/>
    <w:rsid w:val="004D063A"/>
    <w:rsid w:val="004E3939"/>
    <w:rsid w:val="00520EC6"/>
    <w:rsid w:val="00524687"/>
    <w:rsid w:val="005B5087"/>
    <w:rsid w:val="005C73CA"/>
    <w:rsid w:val="005F6C54"/>
    <w:rsid w:val="00600F42"/>
    <w:rsid w:val="006A3A35"/>
    <w:rsid w:val="006A687C"/>
    <w:rsid w:val="006E0D4F"/>
    <w:rsid w:val="006F2D99"/>
    <w:rsid w:val="00700A74"/>
    <w:rsid w:val="00726022"/>
    <w:rsid w:val="0073133D"/>
    <w:rsid w:val="00740C3C"/>
    <w:rsid w:val="007D6D9D"/>
    <w:rsid w:val="007F4F92"/>
    <w:rsid w:val="007F6F25"/>
    <w:rsid w:val="00832356"/>
    <w:rsid w:val="00832B2B"/>
    <w:rsid w:val="00872965"/>
    <w:rsid w:val="008858CD"/>
    <w:rsid w:val="008D772F"/>
    <w:rsid w:val="008E197E"/>
    <w:rsid w:val="00953874"/>
    <w:rsid w:val="0099764C"/>
    <w:rsid w:val="00A46CCB"/>
    <w:rsid w:val="00A71544"/>
    <w:rsid w:val="00A90373"/>
    <w:rsid w:val="00AC6106"/>
    <w:rsid w:val="00AE1828"/>
    <w:rsid w:val="00B33F3C"/>
    <w:rsid w:val="00B5011D"/>
    <w:rsid w:val="00B97703"/>
    <w:rsid w:val="00BB6A1F"/>
    <w:rsid w:val="00C04BAC"/>
    <w:rsid w:val="00C17B7B"/>
    <w:rsid w:val="00C23C20"/>
    <w:rsid w:val="00C362C0"/>
    <w:rsid w:val="00CD5002"/>
    <w:rsid w:val="00CF6087"/>
    <w:rsid w:val="00D02856"/>
    <w:rsid w:val="00D144DE"/>
    <w:rsid w:val="00D209D8"/>
    <w:rsid w:val="00D25CD3"/>
    <w:rsid w:val="00D62A0E"/>
    <w:rsid w:val="00D84FCE"/>
    <w:rsid w:val="00D856BD"/>
    <w:rsid w:val="00DF7E9B"/>
    <w:rsid w:val="00E92981"/>
    <w:rsid w:val="00EC0AE9"/>
    <w:rsid w:val="00ED48C3"/>
    <w:rsid w:val="00F10096"/>
    <w:rsid w:val="00F33593"/>
    <w:rsid w:val="00F34B3C"/>
    <w:rsid w:val="06734A70"/>
    <w:rsid w:val="0D485ACE"/>
    <w:rsid w:val="1E196046"/>
    <w:rsid w:val="3B410D89"/>
    <w:rsid w:val="3FB87138"/>
    <w:rsid w:val="4AB83BDF"/>
    <w:rsid w:val="629D6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uiPriority w:val="0"/>
    <w:pPr>
      <w:widowControl w:val="0"/>
    </w:pPr>
    <w:rPr>
      <w:rFonts w:ascii="Times New Roman" w:hAnsi="Times New Roman" w:eastAsia="Times New Roman"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link w:val="32"/>
    <w:semiHidden/>
    <w:qFormat/>
    <w:uiPriority w:val="99"/>
    <w:rPr>
      <w:rFonts w:ascii="Tahoma" w:hAnsi="Tahoma" w:cs="Tahoma"/>
      <w:sz w:val="16"/>
      <w:szCs w:val="16"/>
      <w:lang w:val="en-GB"/>
    </w:rPr>
  </w:style>
  <w:style w:type="character" w:customStyle="1" w:styleId="57">
    <w:name w:val="Header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character" w:customStyle="1" w:styleId="61">
    <w:name w:val="Footnote Text Char"/>
    <w:link w:val="35"/>
    <w:semiHidden/>
    <w:qFormat/>
    <w:uiPriority w:val="0"/>
    <w:rPr>
      <w:sz w:val="16"/>
    </w:rPr>
  </w:style>
  <w:style w:type="paragraph" w:customStyle="1" w:styleId="62">
    <w:name w:val="TAH"/>
    <w:basedOn w:val="63"/>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1">
    <w:name w:val="NW"/>
    <w:basedOn w:val="67"/>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0">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semiHidden/>
    <w:qFormat/>
    <w:uiPriority w:val="99"/>
    <w:rPr>
      <w:rFonts w:ascii="Times New Roman" w:hAnsi="Times New Roman" w:eastAsia="Times New Roman" w:cs="Times New Roman"/>
      <w:lang w:val="en-GB" w:eastAsia="en-GB" w:bidi="ar-SA"/>
    </w:rPr>
  </w:style>
  <w:style w:type="paragraph" w:styleId="9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F0A8FC4-669D-4CE1-9F1A-EB86CF919081}">
  <ds:schemaRefs/>
</ds:datastoreItem>
</file>

<file path=customXml/itemProps2.xml><?xml version="1.0" encoding="utf-8"?>
<ds:datastoreItem xmlns:ds="http://schemas.openxmlformats.org/officeDocument/2006/customXml" ds:itemID="{DC063AAE-BD44-409A-9E15-5B31849E8679}">
  <ds:schemaRefs/>
</ds:datastoreItem>
</file>

<file path=customXml/itemProps3.xml><?xml version="1.0" encoding="utf-8"?>
<ds:datastoreItem xmlns:ds="http://schemas.openxmlformats.org/officeDocument/2006/customXml" ds:itemID="{4EEEBF36-8D87-4996-A377-05B004CB2565}">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503</Words>
  <Characters>3009</Characters>
  <Lines>23</Lines>
  <Paragraphs>6</Paragraphs>
  <TotalTime>6</TotalTime>
  <ScaleCrop>false</ScaleCrop>
  <LinksUpToDate>false</LinksUpToDate>
  <CharactersWithSpaces>3522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2023-05-11T12:19:00Z</dcterms:created>
  <dc:creator>David Boswarthick</dc:creator>
  <cp:lastModifiedBy>hello</cp:lastModifiedBy>
  <cp:lastPrinted>2002-04-23T07:10:00Z</cp:lastPrinted>
  <dcterms:modified xsi:type="dcterms:W3CDTF">2023-08-14T00:52:55Z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29a7ce1c545d2ccee3233acc76214b3cde94e6416267b01160332b4c015650b3</vt:lpwstr>
  </property>
  <property fmtid="{D5CDD505-2E9C-101B-9397-08002B2CF9AE}" pid="4" name="KSOProductBuildVer">
    <vt:lpwstr>2052-11.1.0.14309</vt:lpwstr>
  </property>
  <property fmtid="{D5CDD505-2E9C-101B-9397-08002B2CF9AE}" pid="5" name="ICV">
    <vt:lpwstr>565952E72A5D4D78AE5BECAB0C043874_12</vt:lpwstr>
  </property>
</Properties>
</file>